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rtl w:val="0"/>
        </w:rPr>
        <w:t xml:space="preserve">Caricare nelle omonime cartelle la documentazione come definita nell’Allegato A-6 dell’Avviso, al fine di giustificare l’attribuzione dei punteggi corrispondenti ai criteri di selezione autodichiarati e relativi ai seguenti requisiti: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  <w:t xml:space="preserve">2. Requisiti del Piano Aziendale;</w:t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  <w:t xml:space="preserve">3. Requisiti impresa agricola;</w:t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  <w:t xml:space="preserve">4. Localizzazione Territoriale.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